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D1AEA"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83E4146" w14:textId="5D8BE67D" w:rsidR="001D3DFA" w:rsidRPr="001D3DFA" w:rsidRDefault="00B47C4C"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Algeria</w:t>
      </w:r>
    </w:p>
    <w:p w14:paraId="775AF218" w14:textId="77777777" w:rsidR="52FA1C63" w:rsidRDefault="52FA1C63" w:rsidP="52FA1C63">
      <w:pPr>
        <w:rPr>
          <w:rFonts w:ascii="Arial Black" w:eastAsia="Times New Roman" w:hAnsi="Arial Black" w:cs="Arial"/>
          <w:b/>
          <w:bCs/>
          <w:color w:val="242C65"/>
          <w:sz w:val="40"/>
          <w:szCs w:val="40"/>
        </w:rPr>
      </w:pPr>
    </w:p>
    <w:p w14:paraId="7706707C"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0DFECFCF" w14:textId="77777777" w:rsidR="00B47C4C" w:rsidRPr="00B47C4C" w:rsidRDefault="00B47C4C" w:rsidP="00B47C4C">
      <w:pPr>
        <w:jc w:val="both"/>
        <w:rPr>
          <w:rFonts w:eastAsia="Times New Roman" w:cstheme="minorHAnsi"/>
          <w:color w:val="000000"/>
        </w:rPr>
      </w:pPr>
      <w:r w:rsidRPr="00B47C4C">
        <w:rPr>
          <w:rFonts w:eastAsia="Times New Roman" w:cstheme="minorHAnsi"/>
          <w:color w:val="000000"/>
        </w:rPr>
        <w:t>“Anyone who has long-term or lasting physical, sensory, mental or intellectual impairment which, in interaction with various barriers, may hinder his or her full and effective participation in society on an equal basis with others.”</w:t>
      </w:r>
    </w:p>
    <w:p w14:paraId="0376F259" w14:textId="77777777" w:rsidR="00B47C4C" w:rsidRPr="00B47C4C" w:rsidRDefault="00B47C4C" w:rsidP="00B47C4C">
      <w:pPr>
        <w:jc w:val="both"/>
        <w:rPr>
          <w:rFonts w:eastAsia="Times New Roman" w:cstheme="minorHAnsi"/>
          <w:color w:val="000000"/>
        </w:rPr>
      </w:pPr>
    </w:p>
    <w:p w14:paraId="6B06B303" w14:textId="5F5ADB90" w:rsidR="001D3DFA" w:rsidRPr="00B47C4C" w:rsidRDefault="00B47C4C" w:rsidP="00B47C4C">
      <w:pPr>
        <w:jc w:val="both"/>
        <w:rPr>
          <w:rFonts w:eastAsia="Times New Roman" w:cstheme="minorHAnsi"/>
          <w:color w:val="000000"/>
        </w:rPr>
      </w:pPr>
      <w:r w:rsidRPr="00B47C4C">
        <w:rPr>
          <w:rFonts w:eastAsia="Times New Roman" w:cstheme="minorHAnsi"/>
          <w:color w:val="000000"/>
        </w:rPr>
        <w:t xml:space="preserve">Reference: </w:t>
      </w:r>
      <w:hyperlink r:id="rId8" w:tgtFrame="_blank" w:tooltip="https://assets.publishing.service.gov.uk/media/5b2378d340f0b634cb3dd823/Disability_in_North_Africa.pdf" w:history="1">
        <w:r w:rsidRPr="00B47C4C">
          <w:rPr>
            <w:rStyle w:val="Hyperlink"/>
            <w:rFonts w:cstheme="minorHAnsi"/>
            <w:color w:val="0000EE"/>
            <w:shd w:val="clear" w:color="auto" w:fill="FFFFFF"/>
          </w:rPr>
          <w:t>https://assets.publishing.service.gov.uk/media/5b2378d340f0b634cb3dd823/Disability_in_North_Africa.pdf</w:t>
        </w:r>
      </w:hyperlink>
      <w:r w:rsidRPr="00B47C4C">
        <w:rPr>
          <w:rFonts w:cstheme="minorHAnsi"/>
        </w:rPr>
        <w:t xml:space="preserve"> </w:t>
      </w:r>
    </w:p>
    <w:p w14:paraId="7E751BD6" w14:textId="77777777" w:rsidR="00B47C4C" w:rsidRPr="001D3DFA" w:rsidRDefault="00B47C4C" w:rsidP="001D3DFA">
      <w:pPr>
        <w:rPr>
          <w:rFonts w:ascii="Times New Roman" w:eastAsia="Times New Roman" w:hAnsi="Times New Roman" w:cs="Times New Roman"/>
          <w:color w:val="000000"/>
        </w:rPr>
      </w:pPr>
    </w:p>
    <w:p w14:paraId="7B0E6216"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5321E76F" w14:textId="77777777" w:rsidR="00B47C4C" w:rsidRPr="00B47C4C" w:rsidRDefault="00B47C4C" w:rsidP="00B47C4C">
      <w:pPr>
        <w:spacing w:after="240"/>
        <w:jc w:val="both"/>
        <w:rPr>
          <w:rFonts w:eastAsia="Times New Roman" w:cstheme="minorHAnsi"/>
          <w:color w:val="000000"/>
        </w:rPr>
      </w:pPr>
      <w:r w:rsidRPr="00B47C4C">
        <w:rPr>
          <w:rFonts w:eastAsia="Times New Roman" w:cstheme="minorHAnsi"/>
          <w:color w:val="000000"/>
        </w:rPr>
        <w:t>On May 8, 2002, Algeria adopted an Act focusing on the protection and promotion of persons with disabilities.</w:t>
      </w:r>
    </w:p>
    <w:p w14:paraId="56B8667D" w14:textId="77777777" w:rsidR="00B47C4C" w:rsidRPr="00B47C4C" w:rsidRDefault="00B47C4C" w:rsidP="00B47C4C">
      <w:pPr>
        <w:spacing w:after="240"/>
        <w:jc w:val="both"/>
        <w:rPr>
          <w:rFonts w:eastAsia="Times New Roman" w:cstheme="minorHAnsi"/>
          <w:color w:val="000000"/>
        </w:rPr>
      </w:pPr>
      <w:r w:rsidRPr="00B47C4C">
        <w:rPr>
          <w:rFonts w:eastAsia="Times New Roman" w:cstheme="minorHAnsi"/>
          <w:color w:val="000000"/>
        </w:rPr>
        <w:t>“Identified the specific needs of persons with disabilities and aims to promote their inclusion in society. It recognized the right of persons with disabilities to access health services, education, training and employment.”</w:t>
      </w:r>
    </w:p>
    <w:p w14:paraId="7B40A917" w14:textId="77777777" w:rsidR="00B47C4C" w:rsidRPr="00B47C4C" w:rsidRDefault="00B47C4C" w:rsidP="00B47C4C">
      <w:pPr>
        <w:spacing w:after="240"/>
        <w:jc w:val="both"/>
        <w:rPr>
          <w:rFonts w:eastAsia="Times New Roman" w:cstheme="minorHAnsi"/>
          <w:color w:val="000000"/>
        </w:rPr>
      </w:pPr>
      <w:r w:rsidRPr="00B47C4C">
        <w:rPr>
          <w:rFonts w:eastAsia="Times New Roman" w:cstheme="minorHAnsi"/>
          <w:color w:val="000000"/>
        </w:rPr>
        <w:t>Articles 29 and 31 of the Constitution set out the principle of equal rights and responsibilities for all citizens, removing the obstacles that hinder the full development of the individual and impede the participation of all persons in political, economic, social and cultural life.</w:t>
      </w:r>
    </w:p>
    <w:p w14:paraId="1F2CDAD1" w14:textId="77777777" w:rsidR="001D3DFA" w:rsidRPr="001D3DFA" w:rsidRDefault="001D3DFA" w:rsidP="001D3DFA">
      <w:pPr>
        <w:spacing w:after="240"/>
        <w:rPr>
          <w:rFonts w:ascii="Times New Roman" w:eastAsia="Times New Roman" w:hAnsi="Times New Roman" w:cs="Times New Roman"/>
          <w:color w:val="000000"/>
        </w:rPr>
      </w:pPr>
    </w:p>
    <w:p w14:paraId="16D3481D"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3AF5104F" w14:textId="77777777" w:rsidR="00B47C4C" w:rsidRPr="00B47C4C" w:rsidRDefault="00B47C4C" w:rsidP="00B47C4C">
      <w:pPr>
        <w:jc w:val="both"/>
        <w:rPr>
          <w:rFonts w:eastAsia="Times New Roman" w:cstheme="minorHAnsi"/>
          <w:color w:val="000000" w:themeColor="text1"/>
        </w:rPr>
      </w:pPr>
      <w:r w:rsidRPr="00B47C4C">
        <w:rPr>
          <w:rFonts w:eastAsia="Times New Roman" w:cstheme="minorHAnsi"/>
          <w:color w:val="000000" w:themeColor="text1"/>
        </w:rPr>
        <w:t>Arts. 25 to 29 of the Act:</w:t>
      </w:r>
    </w:p>
    <w:p w14:paraId="62BD21A2" w14:textId="77777777" w:rsidR="00B47C4C" w:rsidRPr="00B47C4C" w:rsidRDefault="00B47C4C" w:rsidP="00B47C4C">
      <w:pPr>
        <w:jc w:val="both"/>
        <w:rPr>
          <w:rFonts w:eastAsia="Times New Roman" w:cstheme="minorHAnsi"/>
          <w:color w:val="000000" w:themeColor="text1"/>
        </w:rPr>
      </w:pPr>
    </w:p>
    <w:p w14:paraId="667F6FAD" w14:textId="77777777" w:rsidR="00B47C4C" w:rsidRPr="00B47C4C" w:rsidRDefault="00B47C4C" w:rsidP="00B47C4C">
      <w:pPr>
        <w:jc w:val="both"/>
        <w:rPr>
          <w:rFonts w:eastAsia="Times New Roman" w:cstheme="minorHAnsi"/>
          <w:color w:val="000000" w:themeColor="text1"/>
        </w:rPr>
      </w:pPr>
      <w:r w:rsidRPr="00B47C4C">
        <w:rPr>
          <w:rFonts w:eastAsia="Times New Roman" w:cstheme="minorHAnsi"/>
          <w:color w:val="000000" w:themeColor="text1"/>
        </w:rPr>
        <w:t>Define the principles governing the employment of persons with disabilities in the public and private sectors and the benefits granted to anyone who employs persons with disabilities.</w:t>
      </w:r>
    </w:p>
    <w:p w14:paraId="2519EF9A" w14:textId="77777777" w:rsidR="00B47C4C" w:rsidRPr="00B47C4C" w:rsidRDefault="00B47C4C" w:rsidP="00B47C4C">
      <w:pPr>
        <w:jc w:val="both"/>
        <w:rPr>
          <w:rFonts w:eastAsia="Times New Roman" w:cstheme="minorHAnsi"/>
          <w:color w:val="000000" w:themeColor="text1"/>
        </w:rPr>
      </w:pPr>
    </w:p>
    <w:p w14:paraId="41EC3CE7" w14:textId="77777777" w:rsidR="00B47C4C" w:rsidRPr="00B47C4C" w:rsidRDefault="00B47C4C" w:rsidP="00B47C4C">
      <w:pPr>
        <w:jc w:val="both"/>
        <w:rPr>
          <w:rFonts w:eastAsia="Times New Roman" w:cstheme="minorHAnsi"/>
          <w:color w:val="000000" w:themeColor="text1"/>
        </w:rPr>
      </w:pPr>
      <w:r w:rsidRPr="00B47C4C">
        <w:rPr>
          <w:rFonts w:eastAsia="Times New Roman" w:cstheme="minorHAnsi"/>
          <w:color w:val="000000" w:themeColor="text1"/>
        </w:rPr>
        <w:t>The Act establishes, a quota system for the employment of persons with disabilities. Art. 27(1) provides that “all employers must ensure that at least 1 per cent of posts are filled by persons with disabilities whose status as workers is recognized.”</w:t>
      </w:r>
    </w:p>
    <w:p w14:paraId="550864FF" w14:textId="77777777" w:rsidR="00B47C4C" w:rsidRPr="00B47C4C" w:rsidRDefault="00B47C4C" w:rsidP="00B47C4C">
      <w:pPr>
        <w:jc w:val="both"/>
        <w:rPr>
          <w:rFonts w:eastAsia="Times New Roman" w:cstheme="minorHAnsi"/>
          <w:color w:val="000000" w:themeColor="text1"/>
        </w:rPr>
      </w:pPr>
    </w:p>
    <w:p w14:paraId="1EE949D4" w14:textId="77777777" w:rsidR="00B47C4C" w:rsidRPr="00B47C4C" w:rsidRDefault="00B47C4C" w:rsidP="00B47C4C">
      <w:pPr>
        <w:jc w:val="both"/>
        <w:rPr>
          <w:rFonts w:eastAsia="Times New Roman" w:cstheme="minorHAnsi"/>
          <w:color w:val="000000" w:themeColor="text1"/>
        </w:rPr>
      </w:pPr>
      <w:r w:rsidRPr="00B47C4C">
        <w:rPr>
          <w:rFonts w:eastAsia="Times New Roman" w:cstheme="minorHAnsi"/>
          <w:color w:val="000000" w:themeColor="text1"/>
        </w:rPr>
        <w:t>The Act also provides for alternative measures (Art. 27(2) where a person with disabilities cannot be recruited directly. In such cases, the employer must make a financial contribution to a special fund that finances the protection and promotion of persons with disabilities.</w:t>
      </w:r>
    </w:p>
    <w:p w14:paraId="1E8D3CC8" w14:textId="77777777" w:rsidR="00B47C4C" w:rsidRPr="00B47C4C" w:rsidRDefault="00B47C4C" w:rsidP="00B47C4C">
      <w:pPr>
        <w:jc w:val="both"/>
        <w:rPr>
          <w:rFonts w:eastAsia="Times New Roman" w:cstheme="minorHAnsi"/>
          <w:color w:val="000000" w:themeColor="text1"/>
        </w:rPr>
      </w:pPr>
    </w:p>
    <w:p w14:paraId="76C210AC" w14:textId="77777777" w:rsidR="00B47C4C" w:rsidRPr="00B47C4C" w:rsidRDefault="00B47C4C" w:rsidP="00B47C4C">
      <w:pPr>
        <w:jc w:val="both"/>
        <w:rPr>
          <w:rFonts w:eastAsia="Times New Roman" w:cstheme="minorHAnsi"/>
          <w:color w:val="000000" w:themeColor="text1"/>
        </w:rPr>
      </w:pPr>
      <w:r w:rsidRPr="00B47C4C">
        <w:rPr>
          <w:rFonts w:eastAsia="Times New Roman" w:cstheme="minorHAnsi"/>
          <w:color w:val="000000" w:themeColor="text1"/>
        </w:rPr>
        <w:t>Art. 28 provides for incentives to encourage employers to hire persons with disabilities. Employers who adapt workplaces, including equipment, for persons with disabilities receive grants under agreements concluded by the State, local authorities and social security bodies.</w:t>
      </w:r>
    </w:p>
    <w:p w14:paraId="26775151" w14:textId="77777777" w:rsidR="00B47C4C" w:rsidRPr="00B47C4C" w:rsidRDefault="00B47C4C" w:rsidP="00B47C4C">
      <w:pPr>
        <w:jc w:val="both"/>
        <w:rPr>
          <w:rFonts w:eastAsia="Times New Roman" w:cstheme="minorHAnsi"/>
          <w:color w:val="000000" w:themeColor="text1"/>
        </w:rPr>
      </w:pPr>
    </w:p>
    <w:p w14:paraId="0E067B57" w14:textId="148CBB0C" w:rsidR="00B47C4C" w:rsidRPr="00B47C4C" w:rsidRDefault="00000000" w:rsidP="00B47C4C">
      <w:pPr>
        <w:jc w:val="both"/>
        <w:rPr>
          <w:rFonts w:eastAsia="Times New Roman" w:cstheme="minorHAnsi"/>
          <w:color w:val="000000" w:themeColor="text1"/>
        </w:rPr>
      </w:pPr>
      <w:hyperlink r:id="rId9" w:anchor=":~:text=Some%207%2C551%20children%20with%20disabilities,over%206%20million%20Algerian%20dinars." w:history="1">
        <w:r w:rsidR="00B47C4C" w:rsidRPr="00B47C4C">
          <w:rPr>
            <w:rStyle w:val="Hyperlink"/>
            <w:rFonts w:eastAsia="Times New Roman" w:cstheme="minorHAnsi"/>
          </w:rPr>
          <w:t>Committee on the Rights of Persons with Disabilities reviews the report of Algeria</w:t>
        </w:r>
      </w:hyperlink>
    </w:p>
    <w:p w14:paraId="4C8A9613" w14:textId="77777777" w:rsidR="732C847E" w:rsidRDefault="732C847E" w:rsidP="732C847E">
      <w:pPr>
        <w:rPr>
          <w:rFonts w:ascii="Arial" w:eastAsia="Times New Roman" w:hAnsi="Arial" w:cs="Arial"/>
          <w:color w:val="000000" w:themeColor="text1"/>
        </w:rPr>
      </w:pPr>
    </w:p>
    <w:p w14:paraId="7BAC2B7E" w14:textId="77777777" w:rsid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44751509" w14:textId="77777777" w:rsidR="00B47C4C" w:rsidRPr="001D3DFA" w:rsidRDefault="00B47C4C" w:rsidP="732C847E">
      <w:pPr>
        <w:rPr>
          <w:rFonts w:ascii="Arial Black" w:eastAsia="Times New Roman" w:hAnsi="Arial Black" w:cs="Arial"/>
          <w:b/>
          <w:bCs/>
          <w:color w:val="047BC1"/>
          <w:sz w:val="28"/>
          <w:szCs w:val="28"/>
        </w:rPr>
      </w:pPr>
    </w:p>
    <w:p w14:paraId="2BCFE674" w14:textId="77777777" w:rsidR="00B47C4C" w:rsidRPr="00B47C4C" w:rsidRDefault="00B47C4C" w:rsidP="00B47C4C">
      <w:pPr>
        <w:jc w:val="both"/>
        <w:rPr>
          <w:rFonts w:eastAsia="Arial" w:cstheme="minorHAnsi"/>
          <w:color w:val="202020"/>
        </w:rPr>
      </w:pPr>
      <w:r w:rsidRPr="00B47C4C">
        <w:rPr>
          <w:rFonts w:eastAsia="Arial" w:cstheme="minorHAnsi"/>
          <w:color w:val="202020"/>
        </w:rPr>
        <w:t>National Standard No. 16227 – “In order to enable persons with disabilities to live independently and participate fully in all aspects of life, it is imperative to remove all obstacles and barriers to accessibility found in buildings, on public thoroughfares and in other indoor or outdoor facilities, schools, housing, workplaces, places of worship and all premises open to the public.”</w:t>
      </w:r>
    </w:p>
    <w:p w14:paraId="1E258516" w14:textId="77777777" w:rsidR="00B47C4C" w:rsidRPr="00B47C4C" w:rsidRDefault="00B47C4C" w:rsidP="00B47C4C">
      <w:pPr>
        <w:jc w:val="both"/>
        <w:rPr>
          <w:rFonts w:eastAsia="Arial" w:cstheme="minorHAnsi"/>
          <w:color w:val="202020"/>
        </w:rPr>
      </w:pPr>
    </w:p>
    <w:p w14:paraId="61C8CA94" w14:textId="77777777" w:rsidR="00B47C4C" w:rsidRPr="00B47C4C" w:rsidRDefault="00B47C4C" w:rsidP="00B47C4C">
      <w:pPr>
        <w:jc w:val="both"/>
        <w:rPr>
          <w:rFonts w:eastAsia="Arial" w:cstheme="minorHAnsi"/>
          <w:color w:val="202020"/>
        </w:rPr>
      </w:pPr>
      <w:r w:rsidRPr="00B47C4C">
        <w:rPr>
          <w:rFonts w:eastAsia="Arial" w:cstheme="minorHAnsi"/>
          <w:color w:val="202020"/>
        </w:rPr>
        <w:t>The National Microcredit Management Agency provides many resources to support the inclusion of disabled people in the workplace.</w:t>
      </w:r>
    </w:p>
    <w:p w14:paraId="6B7445FC" w14:textId="77777777" w:rsidR="00B47C4C" w:rsidRPr="00B47C4C" w:rsidRDefault="00B47C4C" w:rsidP="00B47C4C">
      <w:pPr>
        <w:jc w:val="both"/>
        <w:rPr>
          <w:rFonts w:eastAsia="Arial" w:cstheme="minorHAnsi"/>
          <w:color w:val="202020"/>
        </w:rPr>
      </w:pPr>
    </w:p>
    <w:p w14:paraId="6F1072D1" w14:textId="77777777" w:rsidR="00B47C4C" w:rsidRPr="00B47C4C" w:rsidRDefault="00B47C4C" w:rsidP="00B47C4C">
      <w:pPr>
        <w:jc w:val="both"/>
        <w:rPr>
          <w:rFonts w:eastAsia="Arial" w:cstheme="minorHAnsi"/>
          <w:color w:val="202020"/>
        </w:rPr>
      </w:pPr>
      <w:r w:rsidRPr="00B47C4C">
        <w:rPr>
          <w:rFonts w:eastAsia="Arial" w:cstheme="minorHAnsi"/>
          <w:color w:val="202020"/>
        </w:rPr>
        <w:t xml:space="preserve">“Personalized support and special </w:t>
      </w:r>
      <w:proofErr w:type="gramStart"/>
      <w:r w:rsidRPr="00B47C4C">
        <w:rPr>
          <w:rFonts w:eastAsia="Arial" w:cstheme="minorHAnsi"/>
          <w:color w:val="202020"/>
        </w:rPr>
        <w:t>monitoring:</w:t>
      </w:r>
      <w:proofErr w:type="gramEnd"/>
      <w:r w:rsidRPr="00B47C4C">
        <w:rPr>
          <w:rFonts w:eastAsia="Arial" w:cstheme="minorHAnsi"/>
          <w:color w:val="202020"/>
        </w:rPr>
        <w:t xml:space="preserve"> given the specific characteristics of this sector of the population, the Agency provides personalized support and special monitoring, taking into consideration the human and social dimension of persons with disabilities.”</w:t>
      </w:r>
    </w:p>
    <w:p w14:paraId="33C7F285" w14:textId="77777777" w:rsidR="00B47C4C" w:rsidRPr="00B47C4C" w:rsidRDefault="00B47C4C" w:rsidP="00B47C4C">
      <w:pPr>
        <w:jc w:val="both"/>
        <w:rPr>
          <w:rFonts w:eastAsia="Arial" w:cstheme="minorHAnsi"/>
          <w:color w:val="202020"/>
        </w:rPr>
      </w:pPr>
    </w:p>
    <w:p w14:paraId="6511C112" w14:textId="77777777" w:rsidR="00B47C4C" w:rsidRPr="00B47C4C" w:rsidRDefault="00B47C4C" w:rsidP="00B47C4C">
      <w:pPr>
        <w:jc w:val="both"/>
        <w:rPr>
          <w:rFonts w:eastAsia="Arial" w:cstheme="minorHAnsi"/>
          <w:color w:val="202020"/>
        </w:rPr>
      </w:pPr>
      <w:r w:rsidRPr="00B47C4C">
        <w:rPr>
          <w:rFonts w:eastAsia="Arial" w:cstheme="minorHAnsi"/>
          <w:color w:val="202020"/>
        </w:rPr>
        <w:t>“Training: training in creating and managing micro-activities and/or micro-businesses is offered to persons with disabilities on the same basis as to persons without disabilities.”</w:t>
      </w:r>
    </w:p>
    <w:p w14:paraId="233F0927" w14:textId="77777777" w:rsidR="00B47C4C" w:rsidRPr="00B47C4C" w:rsidRDefault="00B47C4C" w:rsidP="00B47C4C">
      <w:pPr>
        <w:jc w:val="both"/>
        <w:rPr>
          <w:rFonts w:eastAsia="Arial" w:cstheme="minorHAnsi"/>
          <w:color w:val="202020"/>
        </w:rPr>
      </w:pPr>
    </w:p>
    <w:p w14:paraId="7528C732" w14:textId="77777777" w:rsidR="00B47C4C" w:rsidRPr="00B47C4C" w:rsidRDefault="00B47C4C" w:rsidP="00B47C4C">
      <w:pPr>
        <w:jc w:val="both"/>
        <w:rPr>
          <w:rFonts w:eastAsia="Arial" w:cstheme="minorHAnsi"/>
          <w:color w:val="202020"/>
        </w:rPr>
      </w:pPr>
      <w:r w:rsidRPr="00B47C4C">
        <w:rPr>
          <w:rFonts w:eastAsia="Arial" w:cstheme="minorHAnsi"/>
          <w:color w:val="202020"/>
        </w:rPr>
        <w:t>More information under Article 27, 252</w:t>
      </w:r>
    </w:p>
    <w:p w14:paraId="5649A7FC" w14:textId="77777777" w:rsidR="732C847E" w:rsidRDefault="732C847E" w:rsidP="732C847E">
      <w:pPr>
        <w:rPr>
          <w:rFonts w:ascii="Arial" w:eastAsia="Arial" w:hAnsi="Arial" w:cs="Arial"/>
          <w:color w:val="202020"/>
        </w:rPr>
      </w:pPr>
    </w:p>
    <w:p w14:paraId="5D26E98E" w14:textId="77777777" w:rsidR="00B47C4C" w:rsidRDefault="00B47C4C" w:rsidP="732C847E">
      <w:pPr>
        <w:rPr>
          <w:rFonts w:ascii="Arial" w:eastAsia="Arial" w:hAnsi="Arial" w:cs="Arial"/>
          <w:color w:val="202020"/>
        </w:rPr>
      </w:pPr>
    </w:p>
    <w:p w14:paraId="62BE5186"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419BDCD6" w14:textId="5099F96E" w:rsidR="00B47C4C" w:rsidRPr="00B47C4C" w:rsidRDefault="00B47C4C" w:rsidP="00B47C4C">
      <w:pPr>
        <w:jc w:val="both"/>
        <w:rPr>
          <w:rFonts w:eastAsia="Times New Roman" w:cstheme="minorHAnsi"/>
          <w:color w:val="000000"/>
        </w:rPr>
      </w:pPr>
      <w:r w:rsidRPr="00B47C4C">
        <w:rPr>
          <w:rFonts w:eastAsia="Times New Roman" w:cstheme="minorHAnsi"/>
          <w:color w:val="000000"/>
        </w:rPr>
        <w:t>Many disability laws have been put in place throughout Algeria but most of them are failed to be fully implemented. Algeria’s societal view on disability is evolving, but people with disabilities are still not fully included in society.</w:t>
      </w:r>
    </w:p>
    <w:p w14:paraId="5717F044" w14:textId="0CC02017"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4C693645"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3B15C569" w14:textId="497CCD31" w:rsidR="00B47C4C" w:rsidRPr="00B47C4C" w:rsidRDefault="00B47C4C" w:rsidP="00B47C4C">
      <w:pPr>
        <w:jc w:val="both"/>
        <w:rPr>
          <w:rFonts w:ascii="Calibri" w:eastAsia="Times New Roman" w:hAnsi="Calibri" w:cs="Calibri"/>
          <w:color w:val="000000" w:themeColor="text1"/>
        </w:rPr>
      </w:pPr>
      <w:r w:rsidRPr="00B47C4C">
        <w:rPr>
          <w:rFonts w:ascii="Calibri" w:eastAsia="Times New Roman" w:hAnsi="Calibri" w:cs="Calibri"/>
          <w:color w:val="000000" w:themeColor="text1"/>
        </w:rPr>
        <w:t>“According to the 1998 census, there were 1.6 million persons with disabilities in Algeria, and the number was estimated at two million today.”</w:t>
      </w:r>
    </w:p>
    <w:p w14:paraId="3B47D98B" w14:textId="77777777" w:rsidR="00B47C4C" w:rsidRPr="00B47C4C" w:rsidRDefault="00B47C4C" w:rsidP="00B47C4C">
      <w:pPr>
        <w:jc w:val="both"/>
        <w:rPr>
          <w:rFonts w:ascii="Calibri" w:eastAsia="Times New Roman" w:hAnsi="Calibri" w:cs="Calibri"/>
          <w:color w:val="000000" w:themeColor="text1"/>
        </w:rPr>
      </w:pPr>
    </w:p>
    <w:p w14:paraId="47A22952" w14:textId="1D2F0C30" w:rsidR="00B47C4C" w:rsidRPr="00B47C4C" w:rsidRDefault="00B47C4C" w:rsidP="00B47C4C">
      <w:pPr>
        <w:spacing w:after="240"/>
        <w:jc w:val="both"/>
        <w:rPr>
          <w:rFonts w:ascii="Calibri" w:eastAsia="Times New Roman" w:hAnsi="Calibri" w:cs="Calibri"/>
          <w:color w:val="000000" w:themeColor="text1"/>
        </w:rPr>
      </w:pPr>
      <w:r w:rsidRPr="00B47C4C">
        <w:rPr>
          <w:rFonts w:ascii="Calibri" w:eastAsia="Times New Roman" w:hAnsi="Calibri" w:cs="Calibri"/>
          <w:color w:val="000000" w:themeColor="text1"/>
        </w:rPr>
        <w:t>Reference:</w:t>
      </w:r>
      <w:r w:rsidR="001D3DFA" w:rsidRPr="00B47C4C">
        <w:rPr>
          <w:rFonts w:ascii="Calibri" w:eastAsia="Times New Roman" w:hAnsi="Calibri" w:cs="Calibri"/>
          <w:color w:val="000000" w:themeColor="text1"/>
        </w:rPr>
        <w:t> </w:t>
      </w:r>
      <w:hyperlink r:id="rId10" w:history="1">
        <w:r w:rsidRPr="00B47C4C">
          <w:rPr>
            <w:rStyle w:val="Hyperlink"/>
            <w:rFonts w:ascii="Calibri" w:eastAsia="Times New Roman" w:hAnsi="Calibri" w:cs="Calibri"/>
          </w:rPr>
          <w:t>https://www.ohchr.org/en/press-releases/2018/08/committee-rights-persons-disabilities-reviews-report-algeria</w:t>
        </w:r>
      </w:hyperlink>
      <w:r w:rsidRPr="00B47C4C">
        <w:rPr>
          <w:rFonts w:ascii="Calibri" w:eastAsia="Times New Roman" w:hAnsi="Calibri" w:cs="Calibri"/>
          <w:color w:val="000000" w:themeColor="text1"/>
        </w:rPr>
        <w:t xml:space="preserve"> </w:t>
      </w:r>
    </w:p>
    <w:p w14:paraId="5ED73BA6"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021844DF" w14:textId="195B87CD" w:rsidR="732C847E" w:rsidRDefault="00B47C4C" w:rsidP="476D483D">
      <w:pPr>
        <w:spacing w:after="240"/>
        <w:rPr>
          <w:rFonts w:ascii="Arial" w:eastAsia="Arial" w:hAnsi="Arial" w:cs="Arial"/>
          <w:color w:val="000000" w:themeColor="text1"/>
          <w:lang w:val="en"/>
        </w:rPr>
      </w:pPr>
      <w:r>
        <w:rPr>
          <w:rFonts w:ascii="Arial" w:eastAsia="Arial" w:hAnsi="Arial" w:cs="Arial"/>
          <w:color w:val="000000" w:themeColor="text1"/>
          <w:lang w:val="en"/>
        </w:rPr>
        <w:t>Additional content coming soon.</w:t>
      </w:r>
    </w:p>
    <w:p w14:paraId="0E454AB4" w14:textId="77777777" w:rsidR="00B47C4C" w:rsidRDefault="00B47C4C" w:rsidP="476D483D">
      <w:pPr>
        <w:spacing w:after="240"/>
        <w:rPr>
          <w:rFonts w:ascii="Arial" w:eastAsia="Arial" w:hAnsi="Arial" w:cs="Arial"/>
          <w:color w:val="000000" w:themeColor="text1"/>
          <w:lang w:val="en"/>
        </w:rPr>
      </w:pPr>
    </w:p>
    <w:p w14:paraId="1DEC878C" w14:textId="77777777" w:rsidR="00B47C4C" w:rsidRDefault="1F0BE2F3" w:rsidP="732C847E">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lastRenderedPageBreak/>
        <w:t>Talent Sourcing Resources</w:t>
      </w:r>
    </w:p>
    <w:p w14:paraId="1618C627" w14:textId="77777777" w:rsidR="00B47C4C" w:rsidRDefault="00B47C4C" w:rsidP="00B47C4C">
      <w:pPr>
        <w:spacing w:after="240"/>
        <w:rPr>
          <w:rFonts w:ascii="Arial" w:eastAsia="Arial" w:hAnsi="Arial" w:cs="Arial"/>
          <w:color w:val="000000" w:themeColor="text1"/>
          <w:lang w:val="en"/>
        </w:rPr>
      </w:pPr>
      <w:r>
        <w:rPr>
          <w:rFonts w:ascii="Arial" w:eastAsia="Arial" w:hAnsi="Arial" w:cs="Arial"/>
          <w:color w:val="000000" w:themeColor="text1"/>
          <w:lang w:val="en"/>
        </w:rPr>
        <w:t>Additional content coming soon.</w:t>
      </w:r>
    </w:p>
    <w:p w14:paraId="2A95F35A" w14:textId="77777777" w:rsidR="45458C28" w:rsidRDefault="45458C28" w:rsidP="45458C28">
      <w:pPr>
        <w:rPr>
          <w:rFonts w:ascii="Arial" w:eastAsia="Arial" w:hAnsi="Arial" w:cs="Arial"/>
          <w:color w:val="000000" w:themeColor="text1"/>
        </w:rPr>
      </w:pPr>
    </w:p>
    <w:p w14:paraId="55A587BB"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1DCF2961" w14:textId="77777777" w:rsidR="00B47C4C" w:rsidRPr="00B47C4C" w:rsidRDefault="00000000" w:rsidP="00B47C4C">
      <w:pPr>
        <w:rPr>
          <w:rFonts w:ascii="Arial" w:eastAsia="Arial" w:hAnsi="Arial" w:cs="Arial"/>
        </w:rPr>
      </w:pPr>
      <w:hyperlink r:id="rId11" w:history="1">
        <w:r w:rsidR="00B47C4C" w:rsidRPr="00B47C4C">
          <w:rPr>
            <w:rStyle w:val="Hyperlink"/>
            <w:rFonts w:ascii="Arial" w:eastAsia="Arial" w:hAnsi="Arial" w:cs="Arial"/>
          </w:rPr>
          <w:t>Handicap International</w:t>
        </w:r>
      </w:hyperlink>
      <w:r w:rsidR="00B47C4C" w:rsidRPr="00B47C4C">
        <w:rPr>
          <w:rFonts w:ascii="Arial" w:eastAsia="Arial" w:hAnsi="Arial" w:cs="Arial"/>
        </w:rPr>
        <w:t> – Striving to improve the inclusion of people with disabilities by supporting social insertion, inclusive education, and inclusive local development.</w:t>
      </w:r>
    </w:p>
    <w:p w14:paraId="2F7327DC" w14:textId="77777777" w:rsidR="00B47C4C" w:rsidRPr="00B47C4C" w:rsidRDefault="00B47C4C" w:rsidP="00B47C4C">
      <w:pPr>
        <w:rPr>
          <w:rFonts w:ascii="Arial" w:eastAsia="Arial" w:hAnsi="Arial" w:cs="Arial"/>
        </w:rPr>
      </w:pPr>
    </w:p>
    <w:p w14:paraId="34954DC1" w14:textId="77777777" w:rsidR="45458C28" w:rsidRDefault="45458C28" w:rsidP="45458C28">
      <w:pPr>
        <w:rPr>
          <w:rFonts w:ascii="Arial" w:eastAsia="Arial" w:hAnsi="Arial" w:cs="Arial"/>
        </w:rPr>
      </w:pPr>
    </w:p>
    <w:p w14:paraId="4A197BB4" w14:textId="7E08C27D" w:rsidR="45458C28" w:rsidRPr="00B47C4C"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30185E6B" w14:textId="43717F8A" w:rsidR="00B47C4C" w:rsidRPr="00B47C4C" w:rsidRDefault="00000000" w:rsidP="00B47C4C">
      <w:pPr>
        <w:rPr>
          <w:rFonts w:ascii="Arial" w:eastAsia="Times New Roman" w:hAnsi="Arial" w:cs="Arial"/>
          <w:color w:val="000000" w:themeColor="text1"/>
        </w:rPr>
      </w:pPr>
      <w:hyperlink r:id="rId12" w:history="1">
        <w:r w:rsidR="00B47C4C" w:rsidRPr="00B47C4C">
          <w:rPr>
            <w:rStyle w:val="Hyperlink"/>
            <w:rFonts w:ascii="Arial" w:eastAsia="Times New Roman" w:hAnsi="Arial" w:cs="Arial"/>
          </w:rPr>
          <w:t>Handicap International – Algeria 2021</w:t>
        </w:r>
      </w:hyperlink>
    </w:p>
    <w:p w14:paraId="2A688E27" w14:textId="77777777" w:rsidR="00B47C4C" w:rsidRDefault="00B47C4C" w:rsidP="00B47C4C">
      <w:pPr>
        <w:rPr>
          <w:rFonts w:ascii="Arial" w:eastAsia="Times New Roman" w:hAnsi="Arial" w:cs="Arial"/>
          <w:color w:val="0563C1"/>
          <w:u w:val="single"/>
        </w:rPr>
      </w:pPr>
    </w:p>
    <w:p w14:paraId="32FDECEE" w14:textId="043981FA" w:rsidR="00B47C4C" w:rsidRPr="00B47C4C" w:rsidRDefault="00000000" w:rsidP="00B47C4C">
      <w:pPr>
        <w:rPr>
          <w:rFonts w:ascii="Arial" w:eastAsia="Times New Roman" w:hAnsi="Arial" w:cs="Arial"/>
          <w:color w:val="000000" w:themeColor="text1"/>
        </w:rPr>
      </w:pPr>
      <w:hyperlink r:id="rId13" w:history="1">
        <w:r w:rsidR="00B47C4C" w:rsidRPr="00B47C4C">
          <w:rPr>
            <w:rStyle w:val="Hyperlink"/>
            <w:rFonts w:ascii="Arial" w:eastAsia="Times New Roman" w:hAnsi="Arial" w:cs="Arial"/>
          </w:rPr>
          <w:t>OHCHR - Algeria</w:t>
        </w:r>
      </w:hyperlink>
    </w:p>
    <w:p w14:paraId="4EAB8753" w14:textId="77777777" w:rsidR="45458C28" w:rsidRDefault="45458C28" w:rsidP="45458C28">
      <w:pPr>
        <w:rPr>
          <w:rFonts w:ascii="Arial" w:eastAsia="Times New Roman" w:hAnsi="Arial" w:cs="Arial"/>
          <w:color w:val="0563C1"/>
          <w:u w:val="single"/>
        </w:rPr>
      </w:pPr>
    </w:p>
    <w:p w14:paraId="22F2F0B1" w14:textId="43999D6A" w:rsidR="00B47C4C" w:rsidRPr="00B47C4C" w:rsidRDefault="00000000" w:rsidP="45458C28">
      <w:pPr>
        <w:rPr>
          <w:rFonts w:ascii="Arial" w:eastAsia="Times New Roman" w:hAnsi="Arial" w:cs="Arial"/>
          <w:color w:val="000000" w:themeColor="text1"/>
        </w:rPr>
      </w:pPr>
      <w:hyperlink r:id="rId14" w:history="1">
        <w:r w:rsidR="00B47C4C" w:rsidRPr="00B47C4C">
          <w:rPr>
            <w:rStyle w:val="Hyperlink"/>
            <w:rFonts w:ascii="Arial" w:eastAsia="Times New Roman" w:hAnsi="Arial" w:cs="Arial"/>
          </w:rPr>
          <w:t>Disability in North Africa</w:t>
        </w:r>
      </w:hyperlink>
      <w:r w:rsidR="00B47C4C">
        <w:rPr>
          <w:rFonts w:ascii="Arial" w:eastAsia="Times New Roman" w:hAnsi="Arial" w:cs="Arial"/>
          <w:color w:val="000000" w:themeColor="text1"/>
        </w:rPr>
        <w:t xml:space="preserve"> </w:t>
      </w:r>
    </w:p>
    <w:sectPr w:rsidR="00B47C4C" w:rsidRPr="00B47C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C4C"/>
    <w:rsid w:val="001D3DFA"/>
    <w:rsid w:val="004B5F2C"/>
    <w:rsid w:val="005D006B"/>
    <w:rsid w:val="007C7F99"/>
    <w:rsid w:val="00964BD5"/>
    <w:rsid w:val="00970B42"/>
    <w:rsid w:val="009B3478"/>
    <w:rsid w:val="00B47C4C"/>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5C7CC3"/>
  <w15:chartTrackingRefBased/>
  <w15:docId w15:val="{7F656405-2B86-D14E-B7C4-19BE203C4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B47C4C"/>
    <w:rPr>
      <w:color w:val="605E5C"/>
      <w:shd w:val="clear" w:color="auto" w:fill="E1DFDD"/>
    </w:rPr>
  </w:style>
  <w:style w:type="character" w:styleId="FollowedHyperlink">
    <w:name w:val="FollowedHyperlink"/>
    <w:basedOn w:val="DefaultParagraphFont"/>
    <w:uiPriority w:val="99"/>
    <w:semiHidden/>
    <w:unhideWhenUsed/>
    <w:rsid w:val="00B47C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21060">
      <w:bodyDiv w:val="1"/>
      <w:marLeft w:val="0"/>
      <w:marRight w:val="0"/>
      <w:marTop w:val="0"/>
      <w:marBottom w:val="0"/>
      <w:divBdr>
        <w:top w:val="none" w:sz="0" w:space="0" w:color="auto"/>
        <w:left w:val="none" w:sz="0" w:space="0" w:color="auto"/>
        <w:bottom w:val="none" w:sz="0" w:space="0" w:color="auto"/>
        <w:right w:val="none" w:sz="0" w:space="0" w:color="auto"/>
      </w:divBdr>
      <w:divsChild>
        <w:div w:id="1133790734">
          <w:marLeft w:val="0"/>
          <w:marRight w:val="0"/>
          <w:marTop w:val="225"/>
          <w:marBottom w:val="0"/>
          <w:divBdr>
            <w:top w:val="none" w:sz="0" w:space="0" w:color="auto"/>
            <w:left w:val="none" w:sz="0" w:space="0" w:color="auto"/>
            <w:bottom w:val="none" w:sz="0" w:space="0" w:color="auto"/>
            <w:right w:val="none" w:sz="0" w:space="0" w:color="auto"/>
          </w:divBdr>
        </w:div>
        <w:div w:id="599988763">
          <w:marLeft w:val="0"/>
          <w:marRight w:val="0"/>
          <w:marTop w:val="225"/>
          <w:marBottom w:val="0"/>
          <w:divBdr>
            <w:top w:val="none" w:sz="0" w:space="0" w:color="auto"/>
            <w:left w:val="none" w:sz="0" w:space="0" w:color="auto"/>
            <w:bottom w:val="none" w:sz="0" w:space="0" w:color="auto"/>
            <w:right w:val="none" w:sz="0" w:space="0" w:color="auto"/>
          </w:divBdr>
        </w:div>
      </w:divsChild>
    </w:div>
    <w:div w:id="285238587">
      <w:bodyDiv w:val="1"/>
      <w:marLeft w:val="0"/>
      <w:marRight w:val="0"/>
      <w:marTop w:val="0"/>
      <w:marBottom w:val="0"/>
      <w:divBdr>
        <w:top w:val="none" w:sz="0" w:space="0" w:color="auto"/>
        <w:left w:val="none" w:sz="0" w:space="0" w:color="auto"/>
        <w:bottom w:val="none" w:sz="0" w:space="0" w:color="auto"/>
        <w:right w:val="none" w:sz="0" w:space="0" w:color="auto"/>
      </w:divBdr>
    </w:div>
    <w:div w:id="439300429">
      <w:bodyDiv w:val="1"/>
      <w:marLeft w:val="0"/>
      <w:marRight w:val="0"/>
      <w:marTop w:val="0"/>
      <w:marBottom w:val="0"/>
      <w:divBdr>
        <w:top w:val="none" w:sz="0" w:space="0" w:color="auto"/>
        <w:left w:val="none" w:sz="0" w:space="0" w:color="auto"/>
        <w:bottom w:val="none" w:sz="0" w:space="0" w:color="auto"/>
        <w:right w:val="none" w:sz="0" w:space="0" w:color="auto"/>
      </w:divBdr>
    </w:div>
    <w:div w:id="811023401">
      <w:bodyDiv w:val="1"/>
      <w:marLeft w:val="0"/>
      <w:marRight w:val="0"/>
      <w:marTop w:val="0"/>
      <w:marBottom w:val="0"/>
      <w:divBdr>
        <w:top w:val="none" w:sz="0" w:space="0" w:color="auto"/>
        <w:left w:val="none" w:sz="0" w:space="0" w:color="auto"/>
        <w:bottom w:val="none" w:sz="0" w:space="0" w:color="auto"/>
        <w:right w:val="none" w:sz="0" w:space="0" w:color="auto"/>
      </w:divBdr>
      <w:divsChild>
        <w:div w:id="1532569091">
          <w:marLeft w:val="0"/>
          <w:marRight w:val="0"/>
          <w:marTop w:val="225"/>
          <w:marBottom w:val="0"/>
          <w:divBdr>
            <w:top w:val="none" w:sz="0" w:space="0" w:color="auto"/>
            <w:left w:val="none" w:sz="0" w:space="0" w:color="auto"/>
            <w:bottom w:val="none" w:sz="0" w:space="0" w:color="auto"/>
            <w:right w:val="none" w:sz="0" w:space="0" w:color="auto"/>
          </w:divBdr>
        </w:div>
        <w:div w:id="1691300108">
          <w:marLeft w:val="0"/>
          <w:marRight w:val="0"/>
          <w:marTop w:val="225"/>
          <w:marBottom w:val="0"/>
          <w:divBdr>
            <w:top w:val="none" w:sz="0" w:space="0" w:color="auto"/>
            <w:left w:val="none" w:sz="0" w:space="0" w:color="auto"/>
            <w:bottom w:val="none" w:sz="0" w:space="0" w:color="auto"/>
            <w:right w:val="none" w:sz="0" w:space="0" w:color="auto"/>
          </w:divBdr>
        </w:div>
      </w:divsChild>
    </w:div>
    <w:div w:id="829949995">
      <w:bodyDiv w:val="1"/>
      <w:marLeft w:val="0"/>
      <w:marRight w:val="0"/>
      <w:marTop w:val="0"/>
      <w:marBottom w:val="0"/>
      <w:divBdr>
        <w:top w:val="none" w:sz="0" w:space="0" w:color="auto"/>
        <w:left w:val="none" w:sz="0" w:space="0" w:color="auto"/>
        <w:bottom w:val="none" w:sz="0" w:space="0" w:color="auto"/>
        <w:right w:val="none" w:sz="0" w:space="0" w:color="auto"/>
      </w:divBdr>
    </w:div>
    <w:div w:id="952130191">
      <w:bodyDiv w:val="1"/>
      <w:marLeft w:val="0"/>
      <w:marRight w:val="0"/>
      <w:marTop w:val="0"/>
      <w:marBottom w:val="0"/>
      <w:divBdr>
        <w:top w:val="none" w:sz="0" w:space="0" w:color="auto"/>
        <w:left w:val="none" w:sz="0" w:space="0" w:color="auto"/>
        <w:bottom w:val="none" w:sz="0" w:space="0" w:color="auto"/>
        <w:right w:val="none" w:sz="0" w:space="0" w:color="auto"/>
      </w:divBdr>
    </w:div>
    <w:div w:id="982196145">
      <w:bodyDiv w:val="1"/>
      <w:marLeft w:val="0"/>
      <w:marRight w:val="0"/>
      <w:marTop w:val="0"/>
      <w:marBottom w:val="0"/>
      <w:divBdr>
        <w:top w:val="none" w:sz="0" w:space="0" w:color="auto"/>
        <w:left w:val="none" w:sz="0" w:space="0" w:color="auto"/>
        <w:bottom w:val="none" w:sz="0" w:space="0" w:color="auto"/>
        <w:right w:val="none" w:sz="0" w:space="0" w:color="auto"/>
      </w:divBdr>
      <w:divsChild>
        <w:div w:id="622687069">
          <w:marLeft w:val="0"/>
          <w:marRight w:val="0"/>
          <w:marTop w:val="225"/>
          <w:marBottom w:val="0"/>
          <w:divBdr>
            <w:top w:val="none" w:sz="0" w:space="0" w:color="auto"/>
            <w:left w:val="none" w:sz="0" w:space="0" w:color="auto"/>
            <w:bottom w:val="none" w:sz="0" w:space="0" w:color="auto"/>
            <w:right w:val="none" w:sz="0" w:space="0" w:color="auto"/>
          </w:divBdr>
        </w:div>
        <w:div w:id="1604533554">
          <w:marLeft w:val="0"/>
          <w:marRight w:val="0"/>
          <w:marTop w:val="225"/>
          <w:marBottom w:val="0"/>
          <w:divBdr>
            <w:top w:val="none" w:sz="0" w:space="0" w:color="auto"/>
            <w:left w:val="none" w:sz="0" w:space="0" w:color="auto"/>
            <w:bottom w:val="none" w:sz="0" w:space="0" w:color="auto"/>
            <w:right w:val="none" w:sz="0" w:space="0" w:color="auto"/>
          </w:divBdr>
        </w:div>
      </w:divsChild>
    </w:div>
    <w:div w:id="1097486432">
      <w:bodyDiv w:val="1"/>
      <w:marLeft w:val="0"/>
      <w:marRight w:val="0"/>
      <w:marTop w:val="0"/>
      <w:marBottom w:val="0"/>
      <w:divBdr>
        <w:top w:val="none" w:sz="0" w:space="0" w:color="auto"/>
        <w:left w:val="none" w:sz="0" w:space="0" w:color="auto"/>
        <w:bottom w:val="none" w:sz="0" w:space="0" w:color="auto"/>
        <w:right w:val="none" w:sz="0" w:space="0" w:color="auto"/>
      </w:divBdr>
      <w:divsChild>
        <w:div w:id="382295603">
          <w:marLeft w:val="0"/>
          <w:marRight w:val="0"/>
          <w:marTop w:val="225"/>
          <w:marBottom w:val="0"/>
          <w:divBdr>
            <w:top w:val="none" w:sz="0" w:space="0" w:color="auto"/>
            <w:left w:val="none" w:sz="0" w:space="0" w:color="auto"/>
            <w:bottom w:val="none" w:sz="0" w:space="0" w:color="auto"/>
            <w:right w:val="none" w:sz="0" w:space="0" w:color="auto"/>
          </w:divBdr>
        </w:div>
        <w:div w:id="1891112042">
          <w:marLeft w:val="0"/>
          <w:marRight w:val="0"/>
          <w:marTop w:val="225"/>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54240036">
      <w:bodyDiv w:val="1"/>
      <w:marLeft w:val="0"/>
      <w:marRight w:val="0"/>
      <w:marTop w:val="0"/>
      <w:marBottom w:val="0"/>
      <w:divBdr>
        <w:top w:val="none" w:sz="0" w:space="0" w:color="auto"/>
        <w:left w:val="none" w:sz="0" w:space="0" w:color="auto"/>
        <w:bottom w:val="none" w:sz="0" w:space="0" w:color="auto"/>
        <w:right w:val="none" w:sz="0" w:space="0" w:color="auto"/>
      </w:divBdr>
      <w:divsChild>
        <w:div w:id="209079839">
          <w:marLeft w:val="0"/>
          <w:marRight w:val="0"/>
          <w:marTop w:val="225"/>
          <w:marBottom w:val="0"/>
          <w:divBdr>
            <w:top w:val="none" w:sz="0" w:space="0" w:color="auto"/>
            <w:left w:val="none" w:sz="0" w:space="0" w:color="auto"/>
            <w:bottom w:val="none" w:sz="0" w:space="0" w:color="auto"/>
            <w:right w:val="none" w:sz="0" w:space="0" w:color="auto"/>
          </w:divBdr>
        </w:div>
        <w:div w:id="195317791">
          <w:marLeft w:val="0"/>
          <w:marRight w:val="0"/>
          <w:marTop w:val="225"/>
          <w:marBottom w:val="0"/>
          <w:divBdr>
            <w:top w:val="none" w:sz="0" w:space="0" w:color="auto"/>
            <w:left w:val="none" w:sz="0" w:space="0" w:color="auto"/>
            <w:bottom w:val="none" w:sz="0" w:space="0" w:color="auto"/>
            <w:right w:val="none" w:sz="0" w:space="0" w:color="auto"/>
          </w:divBdr>
        </w:div>
      </w:divsChild>
    </w:div>
    <w:div w:id="1531799413">
      <w:bodyDiv w:val="1"/>
      <w:marLeft w:val="0"/>
      <w:marRight w:val="0"/>
      <w:marTop w:val="0"/>
      <w:marBottom w:val="0"/>
      <w:divBdr>
        <w:top w:val="none" w:sz="0" w:space="0" w:color="auto"/>
        <w:left w:val="none" w:sz="0" w:space="0" w:color="auto"/>
        <w:bottom w:val="none" w:sz="0" w:space="0" w:color="auto"/>
        <w:right w:val="none" w:sz="0" w:space="0" w:color="auto"/>
      </w:divBdr>
    </w:div>
    <w:div w:id="1633365671">
      <w:bodyDiv w:val="1"/>
      <w:marLeft w:val="0"/>
      <w:marRight w:val="0"/>
      <w:marTop w:val="0"/>
      <w:marBottom w:val="0"/>
      <w:divBdr>
        <w:top w:val="none" w:sz="0" w:space="0" w:color="auto"/>
        <w:left w:val="none" w:sz="0" w:space="0" w:color="auto"/>
        <w:bottom w:val="none" w:sz="0" w:space="0" w:color="auto"/>
        <w:right w:val="none" w:sz="0" w:space="0" w:color="auto"/>
      </w:divBdr>
    </w:div>
    <w:div w:id="1873565287">
      <w:bodyDiv w:val="1"/>
      <w:marLeft w:val="0"/>
      <w:marRight w:val="0"/>
      <w:marTop w:val="0"/>
      <w:marBottom w:val="0"/>
      <w:divBdr>
        <w:top w:val="none" w:sz="0" w:space="0" w:color="auto"/>
        <w:left w:val="none" w:sz="0" w:space="0" w:color="auto"/>
        <w:bottom w:val="none" w:sz="0" w:space="0" w:color="auto"/>
        <w:right w:val="none" w:sz="0" w:space="0" w:color="auto"/>
      </w:divBdr>
    </w:div>
    <w:div w:id="1875727160">
      <w:bodyDiv w:val="1"/>
      <w:marLeft w:val="0"/>
      <w:marRight w:val="0"/>
      <w:marTop w:val="0"/>
      <w:marBottom w:val="0"/>
      <w:divBdr>
        <w:top w:val="none" w:sz="0" w:space="0" w:color="auto"/>
        <w:left w:val="none" w:sz="0" w:space="0" w:color="auto"/>
        <w:bottom w:val="none" w:sz="0" w:space="0" w:color="auto"/>
        <w:right w:val="none" w:sz="0" w:space="0" w:color="auto"/>
      </w:divBdr>
    </w:div>
    <w:div w:id="2043895181">
      <w:bodyDiv w:val="1"/>
      <w:marLeft w:val="0"/>
      <w:marRight w:val="0"/>
      <w:marTop w:val="0"/>
      <w:marBottom w:val="0"/>
      <w:divBdr>
        <w:top w:val="none" w:sz="0" w:space="0" w:color="auto"/>
        <w:left w:val="none" w:sz="0" w:space="0" w:color="auto"/>
        <w:bottom w:val="none" w:sz="0" w:space="0" w:color="auto"/>
        <w:right w:val="none" w:sz="0" w:space="0" w:color="auto"/>
      </w:divBdr>
      <w:divsChild>
        <w:div w:id="652218292">
          <w:marLeft w:val="0"/>
          <w:marRight w:val="0"/>
          <w:marTop w:val="225"/>
          <w:marBottom w:val="0"/>
          <w:divBdr>
            <w:top w:val="none" w:sz="0" w:space="0" w:color="auto"/>
            <w:left w:val="none" w:sz="0" w:space="0" w:color="auto"/>
            <w:bottom w:val="none" w:sz="0" w:space="0" w:color="auto"/>
            <w:right w:val="none" w:sz="0" w:space="0" w:color="auto"/>
          </w:divBdr>
        </w:div>
        <w:div w:id="1875073283">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ssets.publishing.service.gov.uk/media/5b2378d340f0b634cb3dd823/Disability_in_North_Africa.pdf" TargetMode="External"/><Relationship Id="rId13" Type="http://schemas.openxmlformats.org/officeDocument/2006/relationships/hyperlink" Target="https://www.ohchr.org/en/countries/algeria"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handicap-international.de/sn_uploads/federation/country/pdf/2021_Country_Sheet_ALGERIA_HI_EN_1.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i.org/en/country/algeri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ohchr.org/en/press-releases/2018/08/committee-rights-persons-disabilities-reviews-report-algeria" TargetMode="External"/><Relationship Id="rId4" Type="http://schemas.openxmlformats.org/officeDocument/2006/relationships/numbering" Target="numbering.xml"/><Relationship Id="rId9" Type="http://schemas.openxmlformats.org/officeDocument/2006/relationships/hyperlink" Target="https://www.ohchr.org/en/press-releases/2018/08/committee-rights-persons-disabilities-reviews-report-algeria" TargetMode="External"/><Relationship Id="rId14" Type="http://schemas.openxmlformats.org/officeDocument/2006/relationships/hyperlink" Target="https://assets.publishing.service.gov.uk/media/5b2378d340f0b634cb3dd823/Disability_in_North_Afric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3</Pages>
  <Words>758</Words>
  <Characters>4326</Characters>
  <Application>Microsoft Office Word</Application>
  <DocSecurity>0</DocSecurity>
  <Lines>36</Lines>
  <Paragraphs>10</Paragraphs>
  <ScaleCrop>false</ScaleCrop>
  <Company/>
  <LinksUpToDate>false</LinksUpToDate>
  <CharactersWithSpaces>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2024-02-04T19:27:00Z</dcterms:created>
  <dcterms:modified xsi:type="dcterms:W3CDTF">2024-02-04T19:27:00Z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